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670F94" w14:textId="77777777" w:rsidR="003B2239" w:rsidRDefault="003B2239" w:rsidP="003B2239">
      <w:pPr>
        <w:spacing w:after="0" w:line="240" w:lineRule="auto"/>
        <w:jc w:val="both"/>
        <w:rPr>
          <w:rFonts w:ascii="Times New Roman" w:eastAsia="Aptos" w:hAnsi="Times New Roman" w:cs="Times New Roman"/>
          <w:lang w:val="pl-PL"/>
          <w14:ligatures w14:val="none"/>
        </w:rPr>
      </w:pPr>
      <w:r>
        <w:rPr>
          <w:rFonts w:ascii="Times New Roman" w:eastAsia="Aptos" w:hAnsi="Times New Roman" w:cs="Times New Roman"/>
          <w:lang w:val="pl-PL"/>
          <w14:ligatures w14:val="none"/>
        </w:rPr>
        <w:t>Załącznik Nr 15</w:t>
      </w:r>
    </w:p>
    <w:p w14:paraId="7FCD4793" w14:textId="77777777" w:rsidR="003B2239" w:rsidRDefault="003B2239" w:rsidP="003B2239">
      <w:pPr>
        <w:spacing w:after="0" w:line="240" w:lineRule="auto"/>
        <w:jc w:val="both"/>
        <w:rPr>
          <w:rFonts w:ascii="Times New Roman" w:eastAsia="Aptos" w:hAnsi="Times New Roman" w:cs="Times New Roman"/>
          <w:lang w:val="pl-PL"/>
          <w14:ligatures w14:val="none"/>
        </w:rPr>
      </w:pPr>
    </w:p>
    <w:p w14:paraId="013FD60E" w14:textId="77777777" w:rsidR="003B2239" w:rsidRPr="00EC7A70" w:rsidRDefault="003B2239" w:rsidP="003B2239">
      <w:pPr>
        <w:spacing w:after="0" w:line="240" w:lineRule="auto"/>
        <w:jc w:val="both"/>
        <w:rPr>
          <w:rFonts w:ascii="Times New Roman" w:eastAsia="Aptos" w:hAnsi="Times New Roman" w:cs="Times New Roman"/>
          <w:lang w:val="pl-PL"/>
          <w14:ligatures w14:val="none"/>
        </w:rPr>
      </w:pPr>
      <w:r w:rsidRPr="00EC7A70">
        <w:rPr>
          <w:rFonts w:ascii="Times New Roman" w:eastAsia="Aptos" w:hAnsi="Times New Roman" w:cs="Times New Roman"/>
          <w:lang w:val="pl-PL"/>
          <w14:ligatures w14:val="none"/>
        </w:rPr>
        <w:t>W przypadku wykonywania orzeczeń w postępowaniu karnym, w postępowaniu w sprawach o przestępstwa skarbowe i wykroczenia skarbowe i w postępowaniu w sprawach o wykroczenia oraz kar porządkowych i środków przymusu skutkujących pozbawienie wolności normatywnym źródłem praw i wolności są unormowania zawarte w ustawie z dnia 6 czerwca 1997 r. Kodeks karny wykonawczy, dalej „</w:t>
      </w:r>
      <w:proofErr w:type="spellStart"/>
      <w:r w:rsidRPr="00EC7A70">
        <w:rPr>
          <w:rFonts w:ascii="Times New Roman" w:eastAsia="Aptos" w:hAnsi="Times New Roman" w:cs="Times New Roman"/>
          <w:lang w:val="pl-PL"/>
          <w14:ligatures w14:val="none"/>
        </w:rPr>
        <w:t>kkw</w:t>
      </w:r>
      <w:proofErr w:type="spellEnd"/>
      <w:r w:rsidRPr="00EC7A70">
        <w:rPr>
          <w:rFonts w:ascii="Times New Roman" w:eastAsia="Aptos" w:hAnsi="Times New Roman" w:cs="Times New Roman"/>
          <w:lang w:val="pl-PL"/>
          <w14:ligatures w14:val="none"/>
        </w:rPr>
        <w:t xml:space="preserve">”. Wynikają one z poszczególnych uregulowań określających zasady wykonywania kar oraz środków wykonywanych na podstawie art. 1§ 1 </w:t>
      </w:r>
      <w:proofErr w:type="spellStart"/>
      <w:r w:rsidRPr="00EC7A70">
        <w:rPr>
          <w:rFonts w:ascii="Times New Roman" w:eastAsia="Aptos" w:hAnsi="Times New Roman" w:cs="Times New Roman"/>
          <w:lang w:val="pl-PL"/>
          <w14:ligatures w14:val="none"/>
        </w:rPr>
        <w:t>kkw</w:t>
      </w:r>
      <w:proofErr w:type="spellEnd"/>
      <w:r w:rsidRPr="00EC7A70">
        <w:rPr>
          <w:rFonts w:ascii="Times New Roman" w:eastAsia="Aptos" w:hAnsi="Times New Roman" w:cs="Times New Roman"/>
          <w:lang w:val="pl-PL"/>
          <w14:ligatures w14:val="none"/>
        </w:rPr>
        <w:t xml:space="preserve">. </w:t>
      </w:r>
    </w:p>
    <w:p w14:paraId="0903901C" w14:textId="77777777" w:rsidR="003B2239" w:rsidRPr="00EC7A70" w:rsidRDefault="003B2239" w:rsidP="003B2239">
      <w:pPr>
        <w:spacing w:after="0" w:line="240" w:lineRule="auto"/>
        <w:jc w:val="both"/>
        <w:rPr>
          <w:rFonts w:ascii="Times New Roman" w:eastAsia="Aptos" w:hAnsi="Times New Roman" w:cs="Times New Roman"/>
          <w:lang w:val="pl-PL"/>
          <w14:ligatures w14:val="none"/>
        </w:rPr>
      </w:pPr>
      <w:r w:rsidRPr="00EC7A70">
        <w:rPr>
          <w:rFonts w:ascii="Times New Roman" w:eastAsia="Aptos" w:hAnsi="Times New Roman" w:cs="Times New Roman"/>
          <w:lang w:val="pl-PL"/>
          <w14:ligatures w14:val="none"/>
        </w:rPr>
        <w:t xml:space="preserve">Prawo osób pozbawionych wolności do kontaktowania się z obrońcą lub pełnomocnikiem zostało zagwarantowane w art. 102 pkt 7 </w:t>
      </w:r>
      <w:proofErr w:type="spellStart"/>
      <w:r w:rsidRPr="00EC7A70">
        <w:rPr>
          <w:rFonts w:ascii="Times New Roman" w:eastAsia="Aptos" w:hAnsi="Times New Roman" w:cs="Times New Roman"/>
          <w:lang w:val="pl-PL"/>
          <w14:ligatures w14:val="none"/>
        </w:rPr>
        <w:t>kkw</w:t>
      </w:r>
      <w:proofErr w:type="spellEnd"/>
      <w:r w:rsidRPr="00EC7A70">
        <w:rPr>
          <w:rFonts w:ascii="Times New Roman" w:eastAsia="Aptos" w:hAnsi="Times New Roman" w:cs="Times New Roman"/>
          <w:lang w:val="pl-PL"/>
          <w14:ligatures w14:val="none"/>
        </w:rPr>
        <w:t xml:space="preserve">. Przy przyjęciu do jednostki penitencjarnej zgodnie z dyspozycją art. 211§ 2 </w:t>
      </w:r>
      <w:proofErr w:type="spellStart"/>
      <w:r w:rsidRPr="00EC7A70">
        <w:rPr>
          <w:rFonts w:ascii="Times New Roman" w:eastAsia="Aptos" w:hAnsi="Times New Roman" w:cs="Times New Roman"/>
          <w:lang w:val="pl-PL"/>
          <w14:ligatures w14:val="none"/>
        </w:rPr>
        <w:t>kkw</w:t>
      </w:r>
      <w:proofErr w:type="spellEnd"/>
      <w:r w:rsidRPr="00EC7A70">
        <w:rPr>
          <w:rFonts w:ascii="Times New Roman" w:eastAsia="Aptos" w:hAnsi="Times New Roman" w:cs="Times New Roman"/>
          <w:lang w:val="pl-PL"/>
          <w14:ligatures w14:val="none"/>
        </w:rPr>
        <w:t xml:space="preserve"> tymczasowo aresztowany ma prawo, bezzwłocznie po osadzeniu go w areszcie śledczym, zawiadomić o miejscu swojego pobytu osobę najbliższą albo inną osobę, stowarzyszenie, organizację lub instytucję, a także swojego obrońcę. Tymczasowo aresztowany cudzoziemiec ma ponadto prawo powiadomić właściwy urząd konsularny, a w razie braku takiego urzędu - właściwe przedstawicielstwo dyplomatyczne (w przypadku, gdy tymczasowo aresztowanym jest osoba nieposiadająca żadnego obywatelstwa - z przedstawicielem państwa, w którym ma ona stałe miejsce zamieszkania). Wskazać należy również, że tymczasowo aresztowani, zgodnie z art. 215§ 1 </w:t>
      </w:r>
      <w:proofErr w:type="spellStart"/>
      <w:r w:rsidRPr="00EC7A70">
        <w:rPr>
          <w:rFonts w:ascii="Times New Roman" w:eastAsia="Aptos" w:hAnsi="Times New Roman" w:cs="Times New Roman"/>
          <w:lang w:val="pl-PL"/>
          <w14:ligatures w14:val="none"/>
        </w:rPr>
        <w:t>kkw</w:t>
      </w:r>
      <w:proofErr w:type="spellEnd"/>
      <w:r w:rsidRPr="00EC7A70">
        <w:rPr>
          <w:rFonts w:ascii="Times New Roman" w:eastAsia="Aptos" w:hAnsi="Times New Roman" w:cs="Times New Roman"/>
          <w:lang w:val="pl-PL"/>
          <w14:ligatures w14:val="none"/>
        </w:rPr>
        <w:t xml:space="preserve"> mają zagwarantowane prawo do porozumiewania się z obrońcą, pełnomocnikiem będącym adwokatem albo radcą prawnym oraz przedstawicielem niebędącym adwokatem ani radcą prawnym, który został zaaprobowany przez Przewodniczącego Izby Europejskiego Trybunału Praw Człowieka do reprezentowania tymczasowo aresztowanego przed tym Trybunałem, podczas nieobecności innych osób oraz korespondencyjnie. Jeżeli organ, do którego dyspozycji tymczasowo aresztowany pozostaje, zastrzeże przy widzeniu obecność swoją lub osoby upoważnionej - widzenie odbywa się w sposób wskazany przez ten organ. Wskazać należy również, że w przypadku gdy tymczasowo aresztowanym jest obywatel państwa obcego, ma on prawo do porozumiewania się z właściwym urzędem konsularnym lub przedstawicielstwem dyplomatycznym, a w przypadku gdy tymczasowo aresztowanym jest osoba nieposiadająca żadnego obywatelstwa - z przedstawicielem państwa, w którym ma ona stałe miejsce zamieszkania, na zasadach, o których mowa w art. 215§ 1 </w:t>
      </w:r>
      <w:proofErr w:type="spellStart"/>
      <w:r w:rsidRPr="00EC7A70">
        <w:rPr>
          <w:rFonts w:ascii="Times New Roman" w:eastAsia="Aptos" w:hAnsi="Times New Roman" w:cs="Times New Roman"/>
          <w:lang w:val="pl-PL"/>
          <w14:ligatures w14:val="none"/>
        </w:rPr>
        <w:t>kkw</w:t>
      </w:r>
      <w:proofErr w:type="spellEnd"/>
      <w:r w:rsidRPr="00EC7A70">
        <w:rPr>
          <w:rFonts w:ascii="Times New Roman" w:eastAsia="Aptos" w:hAnsi="Times New Roman" w:cs="Times New Roman"/>
          <w:lang w:val="pl-PL"/>
          <w14:ligatures w14:val="none"/>
        </w:rPr>
        <w:t xml:space="preserve">. </w:t>
      </w:r>
    </w:p>
    <w:p w14:paraId="68BC3E6A" w14:textId="77777777" w:rsidR="003B2239" w:rsidRPr="00EC7A70" w:rsidRDefault="003B2239" w:rsidP="003B2239">
      <w:pPr>
        <w:spacing w:after="0" w:line="240" w:lineRule="auto"/>
        <w:jc w:val="both"/>
        <w:rPr>
          <w:rFonts w:ascii="Times New Roman" w:eastAsia="Aptos" w:hAnsi="Times New Roman" w:cs="Times New Roman"/>
          <w:lang w:val="pl-PL"/>
          <w14:ligatures w14:val="none"/>
        </w:rPr>
      </w:pPr>
      <w:r w:rsidRPr="00EC7A70">
        <w:rPr>
          <w:rFonts w:ascii="Times New Roman" w:eastAsia="Aptos" w:hAnsi="Times New Roman" w:cs="Times New Roman"/>
          <w:lang w:val="pl-PL"/>
          <w14:ligatures w14:val="none"/>
        </w:rPr>
        <w:t xml:space="preserve">Ważnym aspektem jest także kodeksowa dyspozycja wskazująca, że tymczasowo aresztowanemu należy umożliwić przygotowanie się do obrony - art. 215§ 2 </w:t>
      </w:r>
      <w:proofErr w:type="spellStart"/>
      <w:r w:rsidRPr="00EC7A70">
        <w:rPr>
          <w:rFonts w:ascii="Times New Roman" w:eastAsia="Aptos" w:hAnsi="Times New Roman" w:cs="Times New Roman"/>
          <w:lang w:val="pl-PL"/>
          <w14:ligatures w14:val="none"/>
        </w:rPr>
        <w:t>kkw</w:t>
      </w:r>
      <w:proofErr w:type="spellEnd"/>
      <w:r w:rsidRPr="00EC7A70">
        <w:rPr>
          <w:rFonts w:ascii="Times New Roman" w:eastAsia="Aptos" w:hAnsi="Times New Roman" w:cs="Times New Roman"/>
          <w:lang w:val="pl-PL"/>
          <w14:ligatures w14:val="none"/>
        </w:rPr>
        <w:t>.</w:t>
      </w:r>
    </w:p>
    <w:p w14:paraId="18B34F5A" w14:textId="77777777" w:rsidR="003B2239" w:rsidRPr="00EC7A70" w:rsidRDefault="003B2239" w:rsidP="003B2239">
      <w:pPr>
        <w:spacing w:after="0" w:line="240" w:lineRule="auto"/>
        <w:jc w:val="both"/>
        <w:rPr>
          <w:rFonts w:ascii="Times New Roman" w:eastAsia="Aptos" w:hAnsi="Times New Roman" w:cs="Times New Roman"/>
          <w:lang w:val="pl-PL"/>
          <w14:ligatures w14:val="none"/>
        </w:rPr>
      </w:pPr>
      <w:r w:rsidRPr="00EC7A70">
        <w:rPr>
          <w:rFonts w:ascii="Times New Roman" w:eastAsia="Aptos" w:hAnsi="Times New Roman" w:cs="Times New Roman"/>
          <w:lang w:val="pl-PL"/>
          <w14:ligatures w14:val="none"/>
        </w:rPr>
        <w:t xml:space="preserve">Zgodnie z dyspozycją art. 217c </w:t>
      </w:r>
      <w:proofErr w:type="spellStart"/>
      <w:r w:rsidRPr="00EC7A70">
        <w:rPr>
          <w:rFonts w:ascii="Times New Roman" w:eastAsia="Aptos" w:hAnsi="Times New Roman" w:cs="Times New Roman"/>
          <w:lang w:val="pl-PL"/>
          <w14:ligatures w14:val="none"/>
        </w:rPr>
        <w:t>kkw</w:t>
      </w:r>
      <w:proofErr w:type="spellEnd"/>
      <w:r w:rsidRPr="00EC7A70">
        <w:rPr>
          <w:rFonts w:ascii="Times New Roman" w:eastAsia="Aptos" w:hAnsi="Times New Roman" w:cs="Times New Roman"/>
          <w:lang w:val="pl-PL"/>
          <w14:ligatures w14:val="none"/>
        </w:rPr>
        <w:t xml:space="preserve">, zasadą jest możliwość kontaktowania się tymczasowo aresztowanych z obrońcą drogą telefoniczną. Wymagana jest tu zgoda organu, do dyspozycji którego pozostaje ta osoba, jednakże odmowa udzielenia takiej zgody może być uzasadniona jedynie realną obawą, że rozmowa zostanie wykorzystana do popełnienia przestępstwa lub w celu bezprawnego utrudniania postępowania karnego. Ustawodawca w znowelizowanym </w:t>
      </w:r>
      <w:proofErr w:type="spellStart"/>
      <w:r w:rsidRPr="00EC7A70">
        <w:rPr>
          <w:rFonts w:ascii="Times New Roman" w:eastAsia="Aptos" w:hAnsi="Times New Roman" w:cs="Times New Roman"/>
          <w:lang w:val="pl-PL"/>
          <w14:ligatures w14:val="none"/>
        </w:rPr>
        <w:t>kkw</w:t>
      </w:r>
      <w:proofErr w:type="spellEnd"/>
      <w:r w:rsidRPr="00EC7A70">
        <w:rPr>
          <w:rFonts w:ascii="Times New Roman" w:eastAsia="Aptos" w:hAnsi="Times New Roman" w:cs="Times New Roman"/>
          <w:lang w:val="pl-PL"/>
          <w14:ligatures w14:val="none"/>
        </w:rPr>
        <w:t xml:space="preserve"> w art. 217c§ 1a określił minimalny standard dostępu do rozmów telefonicznych osób skazanych i tymczasowo aresztowanych z obrońcami. Zgodnie z zapisami dyrektywy tymczasowo aresztowany może korzystać co najmniej raz w tygodniu, w terminach ustalonych w porządku wewnętrznym obowiązującym w areszcie śledczym, z samoinkasującego aparatu telefonicznego do kontaktu z obrońcą, pełnomocnikiem będącym adwokatem lub radcą prawnym oraz przedstawicielem niebędącym adwokatem ani radcą prawnym, który został zaaprobowany przez Przewodniczącego Izby Europejskiego Trybunału Praw Człowieka do reprezentowania tymczasowo aresztowanego przed tym Trybunałem, z zastrzeżeniem art. 217c§ 2 i 3 </w:t>
      </w:r>
      <w:proofErr w:type="spellStart"/>
      <w:r w:rsidRPr="00EC7A70">
        <w:rPr>
          <w:rFonts w:ascii="Times New Roman" w:eastAsia="Aptos" w:hAnsi="Times New Roman" w:cs="Times New Roman"/>
          <w:lang w:val="pl-PL"/>
          <w14:ligatures w14:val="none"/>
        </w:rPr>
        <w:t>kkw</w:t>
      </w:r>
      <w:proofErr w:type="spellEnd"/>
      <w:r w:rsidRPr="00EC7A70">
        <w:rPr>
          <w:rFonts w:ascii="Times New Roman" w:eastAsia="Aptos" w:hAnsi="Times New Roman" w:cs="Times New Roman"/>
          <w:lang w:val="pl-PL"/>
          <w14:ligatures w14:val="none"/>
        </w:rPr>
        <w:t xml:space="preserve">. W szczególnie uzasadnionych wypadkach, jeżeli wyznaczone terminy czynności procesowych wskazują na konieczność niezwłocznego skorzystania z samoinkasującego aparatu telefonicznego, dyrektor aresztu śledczego udziela zgody na kontakt poza terminami ustalonymi w porządku wewnętrznym obowiązującym w areszcie śledczym. </w:t>
      </w:r>
    </w:p>
    <w:p w14:paraId="31F7DB9B" w14:textId="77777777" w:rsidR="003B2239" w:rsidRPr="00EC7A70" w:rsidRDefault="003B2239" w:rsidP="003B2239">
      <w:pPr>
        <w:spacing w:after="0" w:line="240" w:lineRule="auto"/>
        <w:jc w:val="both"/>
        <w:rPr>
          <w:rFonts w:ascii="Times New Roman" w:eastAsia="Aptos" w:hAnsi="Times New Roman" w:cs="Times New Roman"/>
          <w:lang w:val="pl-PL"/>
          <w14:ligatures w14:val="none"/>
        </w:rPr>
      </w:pPr>
      <w:r w:rsidRPr="00EC7A70">
        <w:rPr>
          <w:rFonts w:ascii="Times New Roman" w:eastAsia="Aptos" w:hAnsi="Times New Roman" w:cs="Times New Roman"/>
          <w:lang w:val="pl-PL"/>
          <w14:ligatures w14:val="none"/>
        </w:rPr>
        <w:lastRenderedPageBreak/>
        <w:t xml:space="preserve">Zgodnie z 217c§ 1c </w:t>
      </w:r>
      <w:proofErr w:type="spellStart"/>
      <w:r w:rsidRPr="00EC7A70">
        <w:rPr>
          <w:rFonts w:ascii="Times New Roman" w:eastAsia="Aptos" w:hAnsi="Times New Roman" w:cs="Times New Roman"/>
          <w:lang w:val="pl-PL"/>
          <w14:ligatures w14:val="none"/>
        </w:rPr>
        <w:t>kkw</w:t>
      </w:r>
      <w:proofErr w:type="spellEnd"/>
      <w:r w:rsidRPr="00EC7A70">
        <w:rPr>
          <w:rFonts w:ascii="Times New Roman" w:eastAsia="Aptos" w:hAnsi="Times New Roman" w:cs="Times New Roman"/>
          <w:lang w:val="pl-PL"/>
          <w14:ligatures w14:val="none"/>
        </w:rPr>
        <w:t xml:space="preserve"> tymczasowo aresztowany w szczególnie uzasadnionych wypadkach, zwłaszcza gdy bezpośredni kontakt jest niemożliwy lub szczególnie utrudniony, lub gdy wynika to z nagłej sytuacji życiowej, może korzystać, w terminach ustalonych w porządku wewnętrznym obowiązującym w areszcie śledczym, z samoinkasującego aparatu telefonicznego do kontaktu z inną osobą niż wymieniona w art. 217c§ 1a. Przeprowadzenie rozmowy wymaga każdorazowej zgody organu, do którego dyspozycji tymczasowo aresztowany pozostaje, wydanej w formie zarządzenia, o którym mowa w art. 217c§ 2 lub 3 </w:t>
      </w:r>
      <w:proofErr w:type="spellStart"/>
      <w:r w:rsidRPr="00EC7A70">
        <w:rPr>
          <w:rFonts w:ascii="Times New Roman" w:eastAsia="Aptos" w:hAnsi="Times New Roman" w:cs="Times New Roman"/>
          <w:lang w:val="pl-PL"/>
          <w14:ligatures w14:val="none"/>
        </w:rPr>
        <w:t>kkw</w:t>
      </w:r>
      <w:proofErr w:type="spellEnd"/>
      <w:r w:rsidRPr="00EC7A70">
        <w:rPr>
          <w:rFonts w:ascii="Times New Roman" w:eastAsia="Aptos" w:hAnsi="Times New Roman" w:cs="Times New Roman"/>
          <w:lang w:val="pl-PL"/>
          <w14:ligatures w14:val="none"/>
        </w:rPr>
        <w:t xml:space="preserve">, chyba że organ, do którego dyspozycji tymczasowo aresztowany pozostaje, zarządzi inaczej; w takim wypadku zarządzenie obowiązuje do chwili zmiany organu, do którego dyspozycji tymczasowo aresztowany pozostaje; organ do którego dyspozycji tymczasowo aresztowany pozostaje wydaje zarządzenie o odmowie wyrażenia zgody na korzystanie przez tymczasowo aresztowanego z samoinkasującego aparatu telefonicznego albo o jej cofnięciu, jeżeli nie zachodzi szczególnie uzasadniony wypadek, o którym mowa w zdaniu pierwszym albo w wypadku, o którym mowa w art. 217c§ 2 </w:t>
      </w:r>
      <w:proofErr w:type="spellStart"/>
      <w:r w:rsidRPr="00EC7A70">
        <w:rPr>
          <w:rFonts w:ascii="Times New Roman" w:eastAsia="Aptos" w:hAnsi="Times New Roman" w:cs="Times New Roman"/>
          <w:lang w:val="pl-PL"/>
          <w14:ligatures w14:val="none"/>
        </w:rPr>
        <w:t>kkw</w:t>
      </w:r>
      <w:proofErr w:type="spellEnd"/>
      <w:r w:rsidRPr="00EC7A70">
        <w:rPr>
          <w:rFonts w:ascii="Times New Roman" w:eastAsia="Aptos" w:hAnsi="Times New Roman" w:cs="Times New Roman"/>
          <w:lang w:val="pl-PL"/>
          <w14:ligatures w14:val="none"/>
        </w:rPr>
        <w:t>.</w:t>
      </w:r>
    </w:p>
    <w:p w14:paraId="0CB08DB9" w14:textId="77777777" w:rsidR="003B2239" w:rsidRPr="00EC7A70" w:rsidRDefault="003B2239" w:rsidP="003B2239">
      <w:pPr>
        <w:spacing w:after="0" w:line="240" w:lineRule="auto"/>
        <w:jc w:val="both"/>
        <w:rPr>
          <w:rFonts w:ascii="Times New Roman" w:eastAsia="Aptos" w:hAnsi="Times New Roman" w:cs="Times New Roman"/>
          <w:lang w:val="pl-PL"/>
          <w14:ligatures w14:val="none"/>
        </w:rPr>
      </w:pPr>
      <w:r w:rsidRPr="00EC7A70">
        <w:rPr>
          <w:rFonts w:ascii="Times New Roman" w:eastAsia="Aptos" w:hAnsi="Times New Roman" w:cs="Times New Roman"/>
          <w:lang w:val="pl-PL"/>
          <w14:ligatures w14:val="none"/>
        </w:rPr>
        <w:t xml:space="preserve">W stanie prawnym od dnia 1 października 2023 r. korespondencję tymczasowo aresztowanego z obrońcą lub pełnomocnikiem będącym adwokatem lub radcą prawnym przesyła się bezpośrednio do adresata jedynie w przypadku, gdy wskazana osoba jest obrońcą ustanowionym lub wyznaczonym w sprawie, w której zastosowano tymczasowe aresztowanie, zgodnie art. 1 pkt 84 ustawy z dnia 5 sierpnia 2022 r. o zmianie ustawy - Kodeks karny wykonawczy oraz niektórych innych ustaw (Dz.U. 2022 poz. 1855). Pozostała korespondencja ze wskazanymi osobami przesyłana jest do organu dysponującego, chyba że organ zarządzi inaczej (art. 217b§ 1 </w:t>
      </w:r>
      <w:proofErr w:type="spellStart"/>
      <w:r w:rsidRPr="00EC7A70">
        <w:rPr>
          <w:rFonts w:ascii="Times New Roman" w:eastAsia="Aptos" w:hAnsi="Times New Roman" w:cs="Times New Roman"/>
          <w:lang w:val="pl-PL"/>
          <w14:ligatures w14:val="none"/>
        </w:rPr>
        <w:t>kkw</w:t>
      </w:r>
      <w:proofErr w:type="spellEnd"/>
      <w:r w:rsidRPr="00EC7A70">
        <w:rPr>
          <w:rFonts w:ascii="Times New Roman" w:eastAsia="Aptos" w:hAnsi="Times New Roman" w:cs="Times New Roman"/>
          <w:lang w:val="pl-PL"/>
          <w14:ligatures w14:val="none"/>
        </w:rPr>
        <w:t xml:space="preserve">). Zatrzymania, cenzury lub nadzoru korespondencji tymczasowo aresztowanego dokonuje organ, do którego dyspozycji tymczasowo aresztowany pozostaje, chyba że organ ten zarządzi inaczej (art. 217a§ 1 </w:t>
      </w:r>
      <w:proofErr w:type="spellStart"/>
      <w:r w:rsidRPr="00EC7A70">
        <w:rPr>
          <w:rFonts w:ascii="Times New Roman" w:eastAsia="Aptos" w:hAnsi="Times New Roman" w:cs="Times New Roman"/>
          <w:lang w:val="pl-PL"/>
          <w14:ligatures w14:val="none"/>
        </w:rPr>
        <w:t>kkw</w:t>
      </w:r>
      <w:proofErr w:type="spellEnd"/>
      <w:r w:rsidRPr="00EC7A70">
        <w:rPr>
          <w:rFonts w:ascii="Times New Roman" w:eastAsia="Aptos" w:hAnsi="Times New Roman" w:cs="Times New Roman"/>
          <w:lang w:val="pl-PL"/>
          <w14:ligatures w14:val="none"/>
        </w:rPr>
        <w:t>).</w:t>
      </w:r>
    </w:p>
    <w:p w14:paraId="6C399F76" w14:textId="77777777" w:rsidR="003B2239" w:rsidRPr="00EC7A70" w:rsidRDefault="003B2239" w:rsidP="003B2239">
      <w:pPr>
        <w:spacing w:after="0" w:line="240" w:lineRule="auto"/>
        <w:jc w:val="both"/>
        <w:rPr>
          <w:rFonts w:ascii="Times New Roman" w:eastAsia="Aptos" w:hAnsi="Times New Roman" w:cs="Times New Roman"/>
          <w:lang w:val="pl-PL"/>
          <w14:ligatures w14:val="none"/>
        </w:rPr>
      </w:pPr>
      <w:r w:rsidRPr="00EC7A70">
        <w:rPr>
          <w:rFonts w:ascii="Times New Roman" w:eastAsia="Aptos" w:hAnsi="Times New Roman" w:cs="Times New Roman"/>
          <w:lang w:val="pl-PL"/>
          <w14:ligatures w14:val="none"/>
        </w:rPr>
        <w:t xml:space="preserve">Zasady kontaktów osób pozbawionych wolności z członkami ich rodzin zostały uregulowane w ustawodawstwie krajowym, w szczególności w rozwiązaniach zawartych w </w:t>
      </w:r>
      <w:proofErr w:type="spellStart"/>
      <w:r w:rsidRPr="00EC7A70">
        <w:rPr>
          <w:rFonts w:ascii="Times New Roman" w:eastAsia="Aptos" w:hAnsi="Times New Roman" w:cs="Times New Roman"/>
          <w:lang w:val="pl-PL"/>
          <w14:ligatures w14:val="none"/>
        </w:rPr>
        <w:t>kkw</w:t>
      </w:r>
      <w:proofErr w:type="spellEnd"/>
      <w:r w:rsidRPr="00EC7A70">
        <w:rPr>
          <w:rFonts w:ascii="Times New Roman" w:eastAsia="Aptos" w:hAnsi="Times New Roman" w:cs="Times New Roman"/>
          <w:lang w:val="pl-PL"/>
          <w14:ligatures w14:val="none"/>
        </w:rPr>
        <w:t xml:space="preserve">. Do tych unormowań należy zaliczyć m.in. art. 91, 91a, 92, 102, 105, 105a, 138, 139, 141a </w:t>
      </w:r>
      <w:proofErr w:type="spellStart"/>
      <w:r w:rsidRPr="00EC7A70">
        <w:rPr>
          <w:rFonts w:ascii="Times New Roman" w:eastAsia="Aptos" w:hAnsi="Times New Roman" w:cs="Times New Roman"/>
          <w:lang w:val="pl-PL"/>
          <w14:ligatures w14:val="none"/>
        </w:rPr>
        <w:t>kkw</w:t>
      </w:r>
      <w:proofErr w:type="spellEnd"/>
      <w:r w:rsidRPr="00EC7A70">
        <w:rPr>
          <w:rFonts w:ascii="Times New Roman" w:eastAsia="Aptos" w:hAnsi="Times New Roman" w:cs="Times New Roman"/>
          <w:lang w:val="pl-PL"/>
          <w14:ligatures w14:val="none"/>
        </w:rPr>
        <w:t>.</w:t>
      </w:r>
    </w:p>
    <w:p w14:paraId="79A766FA" w14:textId="77777777" w:rsidR="003B2239" w:rsidRPr="00EC7A70" w:rsidRDefault="003B2239" w:rsidP="003B2239">
      <w:pPr>
        <w:spacing w:after="0" w:line="240" w:lineRule="auto"/>
        <w:jc w:val="both"/>
        <w:rPr>
          <w:rFonts w:ascii="Times New Roman" w:eastAsia="Aptos" w:hAnsi="Times New Roman" w:cs="Times New Roman"/>
          <w:lang w:val="pl-PL"/>
          <w14:ligatures w14:val="none"/>
        </w:rPr>
      </w:pPr>
      <w:r w:rsidRPr="00EC7A70">
        <w:rPr>
          <w:rFonts w:ascii="Times New Roman" w:eastAsia="Aptos" w:hAnsi="Times New Roman" w:cs="Times New Roman"/>
          <w:lang w:val="pl-PL"/>
          <w14:ligatures w14:val="none"/>
        </w:rPr>
        <w:t xml:space="preserve">Ustawodawca w celu ułatwienia społecznej readaptacji, a w szczególności przeciwdziałania powrotowi do przestępstwa wskazał, że powinno się udzielać skazanym oraz ich rodzinom niezbędnej pomocy. Podtrzymywanie kontaktów z rodziną i światem zewnętrznym wymienione zostało w art. 67§ 3 </w:t>
      </w:r>
      <w:proofErr w:type="spellStart"/>
      <w:r w:rsidRPr="00EC7A70">
        <w:rPr>
          <w:rFonts w:ascii="Times New Roman" w:eastAsia="Aptos" w:hAnsi="Times New Roman" w:cs="Times New Roman"/>
          <w:lang w:val="pl-PL"/>
          <w14:ligatures w14:val="none"/>
        </w:rPr>
        <w:t>kkw</w:t>
      </w:r>
      <w:proofErr w:type="spellEnd"/>
      <w:r w:rsidRPr="00EC7A70">
        <w:rPr>
          <w:rFonts w:ascii="Times New Roman" w:eastAsia="Aptos" w:hAnsi="Times New Roman" w:cs="Times New Roman"/>
          <w:lang w:val="pl-PL"/>
          <w14:ligatures w14:val="none"/>
        </w:rPr>
        <w:t xml:space="preserve"> wśród sposobów oddziaływania na skazanego na rzecz realizacji celów kary pozbawienia wolności. Jednocześnie w art. 102 pkt 2 </w:t>
      </w:r>
      <w:proofErr w:type="spellStart"/>
      <w:r w:rsidRPr="00EC7A70">
        <w:rPr>
          <w:rFonts w:ascii="Times New Roman" w:eastAsia="Aptos" w:hAnsi="Times New Roman" w:cs="Times New Roman"/>
          <w:lang w:val="pl-PL"/>
          <w14:ligatures w14:val="none"/>
        </w:rPr>
        <w:t>kkw</w:t>
      </w:r>
      <w:proofErr w:type="spellEnd"/>
      <w:r w:rsidRPr="00EC7A70">
        <w:rPr>
          <w:rFonts w:ascii="Times New Roman" w:eastAsia="Aptos" w:hAnsi="Times New Roman" w:cs="Times New Roman"/>
          <w:lang w:val="pl-PL"/>
          <w14:ligatures w14:val="none"/>
        </w:rPr>
        <w:t xml:space="preserve"> ujęto, że utrzymywanie więzi z rodziną i innymi osobami bliskimi jest jednym z jego praw. W tym aspekcie szczególną formą wsparcia skazanego w utrzymywaniu kontaktów z rodziną, osobami najbliższymi, jest kontakt telefoniczny, który został zagwarantowany w art. 105§ 1 </w:t>
      </w:r>
      <w:proofErr w:type="spellStart"/>
      <w:r w:rsidRPr="00EC7A70">
        <w:rPr>
          <w:rFonts w:ascii="Times New Roman" w:eastAsia="Aptos" w:hAnsi="Times New Roman" w:cs="Times New Roman"/>
          <w:lang w:val="pl-PL"/>
          <w14:ligatures w14:val="none"/>
        </w:rPr>
        <w:t>kkw</w:t>
      </w:r>
      <w:proofErr w:type="spellEnd"/>
      <w:r w:rsidRPr="00EC7A70">
        <w:rPr>
          <w:rFonts w:ascii="Times New Roman" w:eastAsia="Aptos" w:hAnsi="Times New Roman" w:cs="Times New Roman"/>
          <w:lang w:val="pl-PL"/>
          <w14:ligatures w14:val="none"/>
        </w:rPr>
        <w:t xml:space="preserve">. </w:t>
      </w:r>
    </w:p>
    <w:p w14:paraId="2626816E" w14:textId="77777777" w:rsidR="003B2239" w:rsidRPr="00EC7A70" w:rsidRDefault="003B2239" w:rsidP="003B2239">
      <w:pPr>
        <w:spacing w:after="0" w:line="240" w:lineRule="auto"/>
        <w:jc w:val="both"/>
        <w:rPr>
          <w:rFonts w:ascii="Times New Roman" w:eastAsia="Aptos" w:hAnsi="Times New Roman" w:cs="Times New Roman"/>
          <w:lang w:val="pl-PL"/>
          <w14:ligatures w14:val="none"/>
        </w:rPr>
      </w:pPr>
      <w:r w:rsidRPr="00EC7A70">
        <w:rPr>
          <w:rFonts w:ascii="Times New Roman" w:eastAsia="Aptos" w:hAnsi="Times New Roman" w:cs="Times New Roman"/>
          <w:lang w:val="pl-PL"/>
          <w14:ligatures w14:val="none"/>
        </w:rPr>
        <w:t xml:space="preserve">W art. 105§ 1 </w:t>
      </w:r>
      <w:proofErr w:type="spellStart"/>
      <w:r w:rsidRPr="00EC7A70">
        <w:rPr>
          <w:rFonts w:ascii="Times New Roman" w:eastAsia="Aptos" w:hAnsi="Times New Roman" w:cs="Times New Roman"/>
          <w:lang w:val="pl-PL"/>
          <w14:ligatures w14:val="none"/>
        </w:rPr>
        <w:t>kkw</w:t>
      </w:r>
      <w:proofErr w:type="spellEnd"/>
      <w:r w:rsidRPr="00EC7A70">
        <w:rPr>
          <w:rFonts w:ascii="Times New Roman" w:eastAsia="Aptos" w:hAnsi="Times New Roman" w:cs="Times New Roman"/>
          <w:lang w:val="pl-PL"/>
          <w14:ligatures w14:val="none"/>
        </w:rPr>
        <w:t xml:space="preserve"> doprecyzowano, że skazanemu należy umożliwić utrzymywanie więzi przede wszystkim z rodziną i innymi osobami bliskimi przez widzenia, korespondencję rozmowy telefoniczne, paczki i przekazy pieniężne, a w uzasadnionych wypadkach, za zgodą dyrektora zakładu karnego, również przez inne środki łączności. Podkreślić należy, że polskie prawo gwarantuje osobom pozbawionym wolności możliwość zarówno kontaktu bezpośredniego jak i kontaktu pośredniego. Do kontaktów bezpośrednich należy zaliczyć wizyty najbliższych na terenie jednostki penitencjarnej, a także odbywające się, na rozmaitych zasadach, czasowe opuszczenie przez skazanego jednostki penitencjarnej. Do kontaktów o charakterze pośrednim należy korespondencja, przekazywanie paczek, kontakt telefoniczny, a także kontakt online, np. przez komunikator internetowy.</w:t>
      </w:r>
    </w:p>
    <w:p w14:paraId="2E400F23" w14:textId="77777777" w:rsidR="003B2239" w:rsidRPr="00EC7A70" w:rsidRDefault="003B2239" w:rsidP="003B2239">
      <w:pPr>
        <w:spacing w:after="0" w:line="240" w:lineRule="auto"/>
        <w:jc w:val="both"/>
        <w:rPr>
          <w:rFonts w:ascii="Times New Roman" w:eastAsia="Aptos" w:hAnsi="Times New Roman" w:cs="Times New Roman"/>
          <w:lang w:val="pl-PL"/>
          <w14:ligatures w14:val="none"/>
        </w:rPr>
      </w:pPr>
      <w:r w:rsidRPr="00EC7A70">
        <w:rPr>
          <w:rFonts w:ascii="Times New Roman" w:eastAsia="Aptos" w:hAnsi="Times New Roman" w:cs="Times New Roman"/>
          <w:lang w:val="pl-PL"/>
          <w14:ligatures w14:val="none"/>
        </w:rPr>
        <w:t xml:space="preserve">Na mocy ustawy z dnia 5 sierpnia 2022 r. o zmianie ustawy - Kodeks karny wykonawczy oraz niektórych innych ustaw (Dz.U. 2022 poz. 1855) przewidziano, że skazany co najmniej raz w tygodniu ma prawo korzystać z samoinkasującego aparatu telefonicznego na własny koszt lub na koszt rozmówcy w sposób i w terminach ustalonych w porządku wewnętrznym obowiązującym w zakładzie karnym. Nowelizacja wprowadziła minimalny standard liczby </w:t>
      </w:r>
      <w:r w:rsidRPr="00EC7A70">
        <w:rPr>
          <w:rFonts w:ascii="Times New Roman" w:eastAsia="Aptos" w:hAnsi="Times New Roman" w:cs="Times New Roman"/>
          <w:lang w:val="pl-PL"/>
          <w14:ligatures w14:val="none"/>
        </w:rPr>
        <w:lastRenderedPageBreak/>
        <w:t xml:space="preserve">połączeń, pełniąc przy tym funkcję gwarancyjną. Wskazać należy, że istotą wprowadzonej regulacji jest zagwarantowanie osadzonemu minimalnej częstotliwości telefonicznego kontaktu, a nie limitowanie jej maksymalnej liczby. </w:t>
      </w:r>
    </w:p>
    <w:p w14:paraId="6A9171B4" w14:textId="77777777" w:rsidR="003B2239" w:rsidRPr="00EC7A70" w:rsidRDefault="003B2239" w:rsidP="003B2239">
      <w:pPr>
        <w:spacing w:after="0" w:line="240" w:lineRule="auto"/>
        <w:jc w:val="both"/>
        <w:rPr>
          <w:rFonts w:ascii="Times New Roman" w:eastAsia="Aptos" w:hAnsi="Times New Roman" w:cs="Times New Roman"/>
          <w:lang w:val="pl-PL"/>
          <w14:ligatures w14:val="none"/>
        </w:rPr>
      </w:pPr>
      <w:r w:rsidRPr="00EC7A70">
        <w:rPr>
          <w:rFonts w:ascii="Times New Roman" w:eastAsia="Aptos" w:hAnsi="Times New Roman" w:cs="Times New Roman"/>
          <w:lang w:val="pl-PL"/>
          <w14:ligatures w14:val="none"/>
        </w:rPr>
        <w:t xml:space="preserve">Aktualnie funkcjonujące rozwiązania przewidują, że skazani odbywający karę pozbawienia wolności w warunkach zakładu karnego typu półotwartego (podstawowego przewidzianego przez ustawodawcę - art. 88§ 1 i §2 </w:t>
      </w:r>
      <w:proofErr w:type="spellStart"/>
      <w:r w:rsidRPr="00EC7A70">
        <w:rPr>
          <w:rFonts w:ascii="Times New Roman" w:eastAsia="Aptos" w:hAnsi="Times New Roman" w:cs="Times New Roman"/>
          <w:lang w:val="pl-PL"/>
          <w14:ligatures w14:val="none"/>
        </w:rPr>
        <w:t>kkw</w:t>
      </w:r>
      <w:proofErr w:type="spellEnd"/>
      <w:r w:rsidRPr="00EC7A70">
        <w:rPr>
          <w:rFonts w:ascii="Times New Roman" w:eastAsia="Aptos" w:hAnsi="Times New Roman" w:cs="Times New Roman"/>
          <w:lang w:val="pl-PL"/>
          <w14:ligatures w14:val="none"/>
        </w:rPr>
        <w:t>) i otwartego mają zagwarantowane prawo do codziennego korzystania z samoinkasujących aparatów telefonicznych. Po zmianach wprowadzonych w grudniu 2023 r. na polecenie kierownictwa Ministerstwa Sprawiedliwości, rozmowy skazanym odbywającym karę pozbawienia wolności w warunkach zakładu karnego typu zamkniętego udzielane są co najmniej dwa razy w tygodniu, co koreluje z możliwościami technicznymi i kadrowymi poszczególnych jednostek penitencjarnych. Uwzględniając szczególny walor readaptacyjny rozszerzono katalog nagród o dodanie kolejnego rodzaju nagrody w postaci zezwolenia na dodatkowe skorzystanie z samoinkasującego aparatu telefonicznego na własny koszt lub na koszt rozmówcy, która może być przyznawana skazanym wyróżniającym się dobrym zachowaniem w czasie odbywania kary. Wymieniona nagroda może być również przyznana skazanemu w celu zachęcenia go do poprawy zachowania, a także, w wypadkach szczególnie uzasadnionych warunkami rodzinnymi lub osobistymi skazanego, może być stosowana jako ulga.</w:t>
      </w:r>
    </w:p>
    <w:p w14:paraId="68C3E4DF" w14:textId="77777777" w:rsidR="003B2239" w:rsidRPr="00EC7A70" w:rsidRDefault="003B2239" w:rsidP="003B2239">
      <w:pPr>
        <w:spacing w:after="0" w:line="240" w:lineRule="auto"/>
        <w:jc w:val="both"/>
        <w:rPr>
          <w:rFonts w:ascii="Times New Roman" w:eastAsia="Aptos" w:hAnsi="Times New Roman" w:cs="Times New Roman"/>
          <w:lang w:val="pl-PL"/>
          <w14:ligatures w14:val="none"/>
        </w:rPr>
      </w:pPr>
      <w:r w:rsidRPr="00EC7A70">
        <w:rPr>
          <w:rFonts w:ascii="Times New Roman" w:eastAsia="Aptos" w:hAnsi="Times New Roman" w:cs="Times New Roman"/>
          <w:lang w:val="pl-PL"/>
          <w14:ligatures w14:val="none"/>
        </w:rPr>
        <w:t xml:space="preserve">Dodatkowo podkreślenia wymaga fakt, że ustawodawca przewidział również w art. 105b§ 1a </w:t>
      </w:r>
      <w:proofErr w:type="spellStart"/>
      <w:r w:rsidRPr="00EC7A70">
        <w:rPr>
          <w:rFonts w:ascii="Times New Roman" w:eastAsia="Aptos" w:hAnsi="Times New Roman" w:cs="Times New Roman"/>
          <w:lang w:val="pl-PL"/>
          <w14:ligatures w14:val="none"/>
        </w:rPr>
        <w:t>kkw</w:t>
      </w:r>
      <w:proofErr w:type="spellEnd"/>
      <w:r w:rsidRPr="00EC7A70">
        <w:rPr>
          <w:rFonts w:ascii="Times New Roman" w:eastAsia="Aptos" w:hAnsi="Times New Roman" w:cs="Times New Roman"/>
          <w:lang w:val="pl-PL"/>
          <w14:ligatures w14:val="none"/>
        </w:rPr>
        <w:t>, że w szczególnie uzasadnionych wypadkach, zwłaszcza gdy bezpośredni kontakt jest niemożliwy lub szczególnie utrudniony lub gdy wynika to z nagłej sytuacji życiowej, dyrektor zakładu karnego może udzielić zgody na skorzystanie z samoinkasującego aparatu telefonicznego do kontaktu z rodziną i innymi osobami bliskimi poza terminami ustalonymi w porządku wewnętrznym obowiązującym w zakładzie karnym.</w:t>
      </w:r>
    </w:p>
    <w:p w14:paraId="3E304116" w14:textId="77777777" w:rsidR="003B2239" w:rsidRPr="00EC7A70" w:rsidRDefault="003B2239" w:rsidP="003B2239">
      <w:pPr>
        <w:spacing w:after="0" w:line="240" w:lineRule="auto"/>
        <w:jc w:val="both"/>
        <w:rPr>
          <w:rFonts w:ascii="Times New Roman" w:eastAsia="Aptos" w:hAnsi="Times New Roman" w:cs="Times New Roman"/>
          <w:lang w:val="pl-PL"/>
          <w14:ligatures w14:val="none"/>
        </w:rPr>
      </w:pPr>
      <w:r w:rsidRPr="00EC7A70">
        <w:rPr>
          <w:rFonts w:ascii="Times New Roman" w:eastAsia="Aptos" w:hAnsi="Times New Roman" w:cs="Times New Roman"/>
          <w:lang w:val="pl-PL"/>
          <w14:ligatures w14:val="none"/>
        </w:rPr>
        <w:t xml:space="preserve">Więzienna służba zdrowia realizuje nałożony na Służbę Więzienną ustawowy obowiązek zapewnienia opieki zdrowotnej osobom pozbawionym wolności na zasadach określonych w art. 115 </w:t>
      </w:r>
      <w:proofErr w:type="spellStart"/>
      <w:r w:rsidRPr="00EC7A70">
        <w:rPr>
          <w:rFonts w:ascii="Times New Roman" w:eastAsia="Aptos" w:hAnsi="Times New Roman" w:cs="Times New Roman"/>
          <w:lang w:val="pl-PL"/>
          <w14:ligatures w14:val="none"/>
        </w:rPr>
        <w:t>kkw</w:t>
      </w:r>
      <w:proofErr w:type="spellEnd"/>
      <w:r w:rsidRPr="00EC7A70">
        <w:rPr>
          <w:rFonts w:ascii="Times New Roman" w:eastAsia="Aptos" w:hAnsi="Times New Roman" w:cs="Times New Roman"/>
          <w:lang w:val="pl-PL"/>
          <w14:ligatures w14:val="none"/>
        </w:rPr>
        <w:t>. Osoby pozbawione wolności, mają zagwarantowany dostęp do nieodpłatnych świadczeń zdrowotnych, produktów leczniczych, wyrobów medycznych. W każdej jednostce penitencjarnej funkcjonują podmioty lecznicze dla osób pozbawionych wolności. Są nimi ambulatoria z izbami chorych oraz szpitale więzienne. Więzienne podmioty lecznicze współdziałają z podmiotami poza więziennymi w przypadkach konieczności natychmiastowego udzielania świadczeń w przypadkach zagrożenia życia lub zdrowia, konieczności przeprowadzania specjalistycznych badań, leczenia lub rehabilitacji, oraz w czasie przepustki lub czasowego zezwolenia na opuszczenie zakładu karnego.</w:t>
      </w:r>
    </w:p>
    <w:p w14:paraId="5C3DCF6B" w14:textId="77777777" w:rsidR="003B2239" w:rsidRPr="00EC7A70" w:rsidRDefault="003B2239" w:rsidP="003B2239">
      <w:pPr>
        <w:spacing w:after="0" w:line="240" w:lineRule="auto"/>
        <w:jc w:val="both"/>
        <w:rPr>
          <w:rFonts w:ascii="Times New Roman" w:eastAsia="Aptos" w:hAnsi="Times New Roman" w:cs="Times New Roman"/>
          <w:lang w:val="pl-PL"/>
          <w14:ligatures w14:val="none"/>
        </w:rPr>
      </w:pPr>
      <w:r w:rsidRPr="00EC7A70">
        <w:rPr>
          <w:rFonts w:ascii="Times New Roman" w:eastAsia="Aptos" w:hAnsi="Times New Roman" w:cs="Times New Roman"/>
          <w:lang w:val="pl-PL"/>
          <w14:ligatures w14:val="none"/>
        </w:rPr>
        <w:t xml:space="preserve">Zgodnie z §4 ust. 1 rozporządzenia Ministra Sprawiedliwości z dnia 14 czerwca 2012 r. w sprawie udzielania świadczeń zdrowotnych przez podmioty lecznicze dla osób pozbawionych wolności (Dz.U. 2024 poz. 1168) badaniom wstępnym: podmiotowym (wywiad chorobowy) i przedmiotowym (fizykalnym) poddaje się osobę pozbawioną wolności niezwłocznie po przyjęciu do zakładu karnego, nie później jednak niż w terminie 3 dni roboczych od dnia przyjęcia. </w:t>
      </w:r>
    </w:p>
    <w:p w14:paraId="4A4B2153" w14:textId="77777777" w:rsidR="003B2239" w:rsidRPr="00EC7A70" w:rsidRDefault="003B2239" w:rsidP="003B2239">
      <w:pPr>
        <w:spacing w:after="0" w:line="240" w:lineRule="auto"/>
        <w:jc w:val="both"/>
        <w:rPr>
          <w:rFonts w:ascii="Times New Roman" w:eastAsia="Aptos" w:hAnsi="Times New Roman" w:cs="Times New Roman"/>
          <w:lang w:val="pl-PL"/>
          <w14:ligatures w14:val="none"/>
        </w:rPr>
      </w:pPr>
      <w:r w:rsidRPr="00EC7A70">
        <w:rPr>
          <w:rFonts w:ascii="Times New Roman" w:eastAsia="Aptos" w:hAnsi="Times New Roman" w:cs="Times New Roman"/>
          <w:lang w:val="pl-PL"/>
          <w14:ligatures w14:val="none"/>
        </w:rPr>
        <w:t xml:space="preserve">W więziennych podmiotach leczniczych przestrzegane są prawa pacjenta określone w ustawie z dnia 6 listopada 2008 r. o prawach pacjenta i Rzeczniku Praw Pacjenta (Dz.U. 2024 poz. 581) z uwzględnieniem ograniczeń wynikających z przepisów </w:t>
      </w:r>
      <w:proofErr w:type="spellStart"/>
      <w:r w:rsidRPr="00EC7A70">
        <w:rPr>
          <w:rFonts w:ascii="Times New Roman" w:eastAsia="Aptos" w:hAnsi="Times New Roman" w:cs="Times New Roman"/>
          <w:lang w:val="pl-PL"/>
          <w14:ligatures w14:val="none"/>
        </w:rPr>
        <w:t>kkw</w:t>
      </w:r>
      <w:proofErr w:type="spellEnd"/>
      <w:r w:rsidRPr="00EC7A70">
        <w:rPr>
          <w:rFonts w:ascii="Times New Roman" w:eastAsia="Aptos" w:hAnsi="Times New Roman" w:cs="Times New Roman"/>
          <w:lang w:val="pl-PL"/>
          <w14:ligatures w14:val="none"/>
        </w:rPr>
        <w:t>.</w:t>
      </w:r>
    </w:p>
    <w:p w14:paraId="3F4A44BE" w14:textId="77777777" w:rsidR="003B2239" w:rsidRPr="00EC7A70" w:rsidRDefault="003B2239" w:rsidP="003B2239">
      <w:pPr>
        <w:spacing w:after="0" w:line="240" w:lineRule="auto"/>
        <w:jc w:val="both"/>
        <w:rPr>
          <w:rFonts w:ascii="Times New Roman" w:eastAsia="Aptos" w:hAnsi="Times New Roman" w:cs="Times New Roman"/>
          <w:lang w:val="pl-PL"/>
          <w14:ligatures w14:val="none"/>
        </w:rPr>
      </w:pPr>
    </w:p>
    <w:p w14:paraId="1F3C13D4" w14:textId="77777777" w:rsidR="003B2239" w:rsidRPr="00EC7A70" w:rsidRDefault="003B2239" w:rsidP="003B2239">
      <w:pPr>
        <w:spacing w:after="0" w:line="240" w:lineRule="auto"/>
        <w:jc w:val="both"/>
        <w:rPr>
          <w:rFonts w:ascii="Times New Roman" w:eastAsia="Times New Roman" w:hAnsi="Times New Roman" w:cs="Times New Roman"/>
          <w:kern w:val="0"/>
          <w:lang w:val="pl-PL" w:eastAsia="pl-PL"/>
          <w14:ligatures w14:val="none"/>
        </w:rPr>
      </w:pPr>
      <w:r w:rsidRPr="00EC7A70">
        <w:rPr>
          <w:rFonts w:ascii="Times New Roman" w:eastAsia="Times New Roman" w:hAnsi="Times New Roman" w:cs="Times New Roman"/>
          <w:kern w:val="0"/>
          <w:lang w:val="pl-PL" w:eastAsia="pl-PL"/>
          <w14:ligatures w14:val="none"/>
        </w:rPr>
        <w:t xml:space="preserve">Za istotny obszar dla Służby Więziennej uznawana jest sytuacja osób transpłciowych w polskich jednostkach penitencjarnych i problematyka związana z poszanowaniem praw człowieka osób transpłciowych w zakładach karnych i aresztach śledczych. Pozostaje ona ściśle związana z zasadą indywidualizacji, która jest jedną z fundamentalnych zasad przyświecających wykonywaniu kary pozbawienia wolności. W związku z powyższym w Centralnym Zarządzie Służby Więziennej został powołany interdyscyplinarny zespół, którego </w:t>
      </w:r>
      <w:r w:rsidRPr="00EC7A70">
        <w:rPr>
          <w:rFonts w:ascii="Times New Roman" w:eastAsia="Times New Roman" w:hAnsi="Times New Roman" w:cs="Times New Roman"/>
          <w:kern w:val="0"/>
          <w:lang w:val="pl-PL" w:eastAsia="pl-PL"/>
          <w14:ligatures w14:val="none"/>
        </w:rPr>
        <w:lastRenderedPageBreak/>
        <w:t>zadaniem jest przeanalizowanie sytuacji osób transpłciowych przebywających w jednostkach penitencjarnych oraz opracowanie standardów postępowania z nimi.</w:t>
      </w:r>
    </w:p>
    <w:p w14:paraId="22ABD3DB" w14:textId="77777777" w:rsidR="00A4043E" w:rsidRPr="003B2239" w:rsidRDefault="00A4043E">
      <w:pPr>
        <w:rPr>
          <w:lang w:val="pl-PL"/>
        </w:rPr>
      </w:pPr>
    </w:p>
    <w:sectPr w:rsidR="00A4043E" w:rsidRPr="003B22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239"/>
    <w:rsid w:val="003048F7"/>
    <w:rsid w:val="003B2239"/>
    <w:rsid w:val="00674D0F"/>
    <w:rsid w:val="00A4043E"/>
    <w:rsid w:val="00B2491A"/>
    <w:rsid w:val="00EE242B"/>
    <w:rsid w:val="00EF54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08D2E"/>
  <w15:chartTrackingRefBased/>
  <w15:docId w15:val="{A9F72F04-7F7F-41E2-8CB4-F2C7C95C1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2239"/>
    <w:rPr>
      <w:lang w:val="en-US"/>
    </w:rPr>
  </w:style>
  <w:style w:type="paragraph" w:styleId="Nagwek1">
    <w:name w:val="heading 1"/>
    <w:basedOn w:val="Normalny"/>
    <w:next w:val="Normalny"/>
    <w:link w:val="Nagwek1Znak"/>
    <w:uiPriority w:val="9"/>
    <w:qFormat/>
    <w:rsid w:val="003B22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B22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B223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B223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B223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B223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B223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B223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B223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B2239"/>
    <w:rPr>
      <w:rFonts w:asciiTheme="majorHAnsi" w:eastAsiaTheme="majorEastAsia" w:hAnsiTheme="majorHAnsi" w:cstheme="majorBidi"/>
      <w:color w:val="0F4761" w:themeColor="accent1" w:themeShade="BF"/>
      <w:sz w:val="40"/>
      <w:szCs w:val="40"/>
      <w:lang w:val="en-US"/>
    </w:rPr>
  </w:style>
  <w:style w:type="character" w:customStyle="1" w:styleId="Nagwek2Znak">
    <w:name w:val="Nagłówek 2 Znak"/>
    <w:basedOn w:val="Domylnaczcionkaakapitu"/>
    <w:link w:val="Nagwek2"/>
    <w:uiPriority w:val="9"/>
    <w:semiHidden/>
    <w:rsid w:val="003B2239"/>
    <w:rPr>
      <w:rFonts w:asciiTheme="majorHAnsi" w:eastAsiaTheme="majorEastAsia" w:hAnsiTheme="majorHAnsi" w:cstheme="majorBidi"/>
      <w:color w:val="0F4761" w:themeColor="accent1" w:themeShade="BF"/>
      <w:sz w:val="32"/>
      <w:szCs w:val="32"/>
      <w:lang w:val="en-US"/>
    </w:rPr>
  </w:style>
  <w:style w:type="character" w:customStyle="1" w:styleId="Nagwek3Znak">
    <w:name w:val="Nagłówek 3 Znak"/>
    <w:basedOn w:val="Domylnaczcionkaakapitu"/>
    <w:link w:val="Nagwek3"/>
    <w:uiPriority w:val="9"/>
    <w:semiHidden/>
    <w:rsid w:val="003B2239"/>
    <w:rPr>
      <w:rFonts w:eastAsiaTheme="majorEastAsia" w:cstheme="majorBidi"/>
      <w:color w:val="0F4761" w:themeColor="accent1" w:themeShade="BF"/>
      <w:sz w:val="28"/>
      <w:szCs w:val="28"/>
      <w:lang w:val="en-US"/>
    </w:rPr>
  </w:style>
  <w:style w:type="character" w:customStyle="1" w:styleId="Nagwek4Znak">
    <w:name w:val="Nagłówek 4 Znak"/>
    <w:basedOn w:val="Domylnaczcionkaakapitu"/>
    <w:link w:val="Nagwek4"/>
    <w:uiPriority w:val="9"/>
    <w:semiHidden/>
    <w:rsid w:val="003B2239"/>
    <w:rPr>
      <w:rFonts w:eastAsiaTheme="majorEastAsia" w:cstheme="majorBidi"/>
      <w:i/>
      <w:iCs/>
      <w:color w:val="0F4761" w:themeColor="accent1" w:themeShade="BF"/>
      <w:lang w:val="en-US"/>
    </w:rPr>
  </w:style>
  <w:style w:type="character" w:customStyle="1" w:styleId="Nagwek5Znak">
    <w:name w:val="Nagłówek 5 Znak"/>
    <w:basedOn w:val="Domylnaczcionkaakapitu"/>
    <w:link w:val="Nagwek5"/>
    <w:uiPriority w:val="9"/>
    <w:semiHidden/>
    <w:rsid w:val="003B2239"/>
    <w:rPr>
      <w:rFonts w:eastAsiaTheme="majorEastAsia" w:cstheme="majorBidi"/>
      <w:color w:val="0F4761" w:themeColor="accent1" w:themeShade="BF"/>
      <w:lang w:val="en-US"/>
    </w:rPr>
  </w:style>
  <w:style w:type="character" w:customStyle="1" w:styleId="Nagwek6Znak">
    <w:name w:val="Nagłówek 6 Znak"/>
    <w:basedOn w:val="Domylnaczcionkaakapitu"/>
    <w:link w:val="Nagwek6"/>
    <w:uiPriority w:val="9"/>
    <w:semiHidden/>
    <w:rsid w:val="003B2239"/>
    <w:rPr>
      <w:rFonts w:eastAsiaTheme="majorEastAsia" w:cstheme="majorBidi"/>
      <w:i/>
      <w:iCs/>
      <w:color w:val="595959" w:themeColor="text1" w:themeTint="A6"/>
      <w:lang w:val="en-US"/>
    </w:rPr>
  </w:style>
  <w:style w:type="character" w:customStyle="1" w:styleId="Nagwek7Znak">
    <w:name w:val="Nagłówek 7 Znak"/>
    <w:basedOn w:val="Domylnaczcionkaakapitu"/>
    <w:link w:val="Nagwek7"/>
    <w:uiPriority w:val="9"/>
    <w:semiHidden/>
    <w:rsid w:val="003B2239"/>
    <w:rPr>
      <w:rFonts w:eastAsiaTheme="majorEastAsia" w:cstheme="majorBidi"/>
      <w:color w:val="595959" w:themeColor="text1" w:themeTint="A6"/>
      <w:lang w:val="en-US"/>
    </w:rPr>
  </w:style>
  <w:style w:type="character" w:customStyle="1" w:styleId="Nagwek8Znak">
    <w:name w:val="Nagłówek 8 Znak"/>
    <w:basedOn w:val="Domylnaczcionkaakapitu"/>
    <w:link w:val="Nagwek8"/>
    <w:uiPriority w:val="9"/>
    <w:semiHidden/>
    <w:rsid w:val="003B2239"/>
    <w:rPr>
      <w:rFonts w:eastAsiaTheme="majorEastAsia" w:cstheme="majorBidi"/>
      <w:i/>
      <w:iCs/>
      <w:color w:val="272727" w:themeColor="text1" w:themeTint="D8"/>
      <w:lang w:val="en-US"/>
    </w:rPr>
  </w:style>
  <w:style w:type="character" w:customStyle="1" w:styleId="Nagwek9Znak">
    <w:name w:val="Nagłówek 9 Znak"/>
    <w:basedOn w:val="Domylnaczcionkaakapitu"/>
    <w:link w:val="Nagwek9"/>
    <w:uiPriority w:val="9"/>
    <w:semiHidden/>
    <w:rsid w:val="003B2239"/>
    <w:rPr>
      <w:rFonts w:eastAsiaTheme="majorEastAsia" w:cstheme="majorBidi"/>
      <w:color w:val="272727" w:themeColor="text1" w:themeTint="D8"/>
      <w:lang w:val="en-US"/>
    </w:rPr>
  </w:style>
  <w:style w:type="paragraph" w:styleId="Tytu">
    <w:name w:val="Title"/>
    <w:basedOn w:val="Normalny"/>
    <w:next w:val="Normalny"/>
    <w:link w:val="TytuZnak"/>
    <w:uiPriority w:val="10"/>
    <w:qFormat/>
    <w:rsid w:val="003B223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B2239"/>
    <w:rPr>
      <w:rFonts w:asciiTheme="majorHAnsi" w:eastAsiaTheme="majorEastAsia" w:hAnsiTheme="majorHAnsi" w:cstheme="majorBidi"/>
      <w:spacing w:val="-10"/>
      <w:kern w:val="28"/>
      <w:sz w:val="56"/>
      <w:szCs w:val="56"/>
      <w:lang w:val="en-US"/>
    </w:rPr>
  </w:style>
  <w:style w:type="paragraph" w:styleId="Podtytu">
    <w:name w:val="Subtitle"/>
    <w:basedOn w:val="Normalny"/>
    <w:next w:val="Normalny"/>
    <w:link w:val="PodtytuZnak"/>
    <w:uiPriority w:val="11"/>
    <w:qFormat/>
    <w:rsid w:val="003B223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B2239"/>
    <w:rPr>
      <w:rFonts w:eastAsiaTheme="majorEastAsia" w:cstheme="majorBidi"/>
      <w:color w:val="595959" w:themeColor="text1" w:themeTint="A6"/>
      <w:spacing w:val="15"/>
      <w:sz w:val="28"/>
      <w:szCs w:val="28"/>
      <w:lang w:val="en-US"/>
    </w:rPr>
  </w:style>
  <w:style w:type="paragraph" w:styleId="Cytat">
    <w:name w:val="Quote"/>
    <w:basedOn w:val="Normalny"/>
    <w:next w:val="Normalny"/>
    <w:link w:val="CytatZnak"/>
    <w:uiPriority w:val="29"/>
    <w:qFormat/>
    <w:rsid w:val="003B2239"/>
    <w:pPr>
      <w:spacing w:before="160"/>
      <w:jc w:val="center"/>
    </w:pPr>
    <w:rPr>
      <w:i/>
      <w:iCs/>
      <w:color w:val="404040" w:themeColor="text1" w:themeTint="BF"/>
    </w:rPr>
  </w:style>
  <w:style w:type="character" w:customStyle="1" w:styleId="CytatZnak">
    <w:name w:val="Cytat Znak"/>
    <w:basedOn w:val="Domylnaczcionkaakapitu"/>
    <w:link w:val="Cytat"/>
    <w:uiPriority w:val="29"/>
    <w:rsid w:val="003B2239"/>
    <w:rPr>
      <w:i/>
      <w:iCs/>
      <w:color w:val="404040" w:themeColor="text1" w:themeTint="BF"/>
      <w:lang w:val="en-US"/>
    </w:rPr>
  </w:style>
  <w:style w:type="paragraph" w:styleId="Akapitzlist">
    <w:name w:val="List Paragraph"/>
    <w:basedOn w:val="Normalny"/>
    <w:uiPriority w:val="34"/>
    <w:qFormat/>
    <w:rsid w:val="003B2239"/>
    <w:pPr>
      <w:ind w:left="720"/>
      <w:contextualSpacing/>
    </w:pPr>
  </w:style>
  <w:style w:type="character" w:styleId="Wyrnienieintensywne">
    <w:name w:val="Intense Emphasis"/>
    <w:basedOn w:val="Domylnaczcionkaakapitu"/>
    <w:uiPriority w:val="21"/>
    <w:qFormat/>
    <w:rsid w:val="003B2239"/>
    <w:rPr>
      <w:i/>
      <w:iCs/>
      <w:color w:val="0F4761" w:themeColor="accent1" w:themeShade="BF"/>
    </w:rPr>
  </w:style>
  <w:style w:type="paragraph" w:styleId="Cytatintensywny">
    <w:name w:val="Intense Quote"/>
    <w:basedOn w:val="Normalny"/>
    <w:next w:val="Normalny"/>
    <w:link w:val="CytatintensywnyZnak"/>
    <w:uiPriority w:val="30"/>
    <w:qFormat/>
    <w:rsid w:val="003B22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B2239"/>
    <w:rPr>
      <w:i/>
      <w:iCs/>
      <w:color w:val="0F4761" w:themeColor="accent1" w:themeShade="BF"/>
      <w:lang w:val="en-US"/>
    </w:rPr>
  </w:style>
  <w:style w:type="character" w:styleId="Odwoanieintensywne">
    <w:name w:val="Intense Reference"/>
    <w:basedOn w:val="Domylnaczcionkaakapitu"/>
    <w:uiPriority w:val="32"/>
    <w:qFormat/>
    <w:rsid w:val="003B223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1748</Words>
  <Characters>10488</Characters>
  <Application>Microsoft Office Word</Application>
  <DocSecurity>0</DocSecurity>
  <Lines>87</Lines>
  <Paragraphs>24</Paragraphs>
  <ScaleCrop>false</ScaleCrop>
  <Company/>
  <LinksUpToDate>false</LinksUpToDate>
  <CharactersWithSpaces>12212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Charkiewicz Piotr  (DWMPC)</dc:creator>
  <cp:keywords/>
  <dc:description/>
  <cp:lastModifiedBy>Charkiewicz Piotr  (DWMPC)</cp:lastModifiedBy>
  <cp:revision>1</cp:revision>
  <dcterms:created xsi:type="dcterms:W3CDTF">2025-11-17T10:02:00Z</dcterms:created>
  <dcterms:modified xsi:type="dcterms:W3CDTF">2025-11-17T10:03:00Z</dcterms:modified>
</cp:coreProperties>
</file>